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9FF9"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Dear Commissioners and GP Practices,</w:t>
      </w:r>
    </w:p>
    <w:p w14:paraId="23C0EA3A"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3AE67396"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Please cascade this information to your CQRS users, including GP practices.</w:t>
      </w:r>
    </w:p>
    <w:p w14:paraId="35ED0408"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60C065C5"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Payment declaration reminder</w:t>
      </w:r>
    </w:p>
    <w:p w14:paraId="500D1F9D"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2282BD34"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is a reminder for all GP Practices and Commissioners that achievement will need to be declared and financially approved </w:t>
      </w:r>
      <w:r w:rsidRPr="00257E5D">
        <w:rPr>
          <w:rFonts w:ascii="Arial" w:hAnsi="Arial" w:cs="Arial"/>
          <w:b/>
          <w:bCs/>
          <w:color w:val="1F497D"/>
          <w:lang w:eastAsia="en-US"/>
        </w:rPr>
        <w:t>before midday on Friday 18 September</w:t>
      </w:r>
      <w:r w:rsidRPr="00257E5D">
        <w:rPr>
          <w:rFonts w:ascii="Arial" w:hAnsi="Arial" w:cs="Arial"/>
          <w:color w:val="1F497D"/>
          <w:lang w:eastAsia="en-US"/>
        </w:rPr>
        <w:t>.</w:t>
      </w:r>
    </w:p>
    <w:p w14:paraId="0CA12E57"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E7B66C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If payment declarations are not approved before the Friday 18 September, the next opportunity to do this will be from </w:t>
      </w:r>
      <w:r w:rsidRPr="00257E5D">
        <w:rPr>
          <w:rFonts w:ascii="Arial" w:hAnsi="Arial" w:cs="Arial"/>
          <w:b/>
          <w:bCs/>
          <w:color w:val="1F497D"/>
          <w:lang w:eastAsia="en-US"/>
        </w:rPr>
        <w:t>Wednesday 23 September</w:t>
      </w:r>
      <w:r w:rsidRPr="00257E5D">
        <w:rPr>
          <w:rFonts w:ascii="Arial" w:hAnsi="Arial" w:cs="Arial"/>
          <w:color w:val="1F497D"/>
          <w:lang w:eastAsia="en-US"/>
        </w:rPr>
        <w:t xml:space="preserve"> when CQRS is available. These payment declarations will be sent from CQRS to PCSE Online on Monday 28 September to enable payments to progress.</w:t>
      </w:r>
    </w:p>
    <w:p w14:paraId="7F235382"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0947934C"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Signing in to CQRS from Wednesday 23 September</w:t>
      </w:r>
    </w:p>
    <w:p w14:paraId="19EA81D6"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bookmarkStart w:id="0" w:name="_GoBack"/>
      <w:bookmarkEnd w:id="0"/>
    </w:p>
    <w:p w14:paraId="54839D32"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Once the system enhancements to CQRS have been completed, from Wednesday 23 September you will be asked to log in to CQRS via single sign-on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w:t>
      </w:r>
      <w:hyperlink r:id="rId5" w:tgtFrame="_blank" w:history="1">
        <w:r w:rsidRPr="00257E5D">
          <w:rPr>
            <w:rStyle w:val="Hyperlink"/>
            <w:rFonts w:ascii="Arial" w:hAnsi="Arial" w:cs="Arial"/>
            <w:lang w:eastAsia="en-US"/>
          </w:rPr>
          <w:t>nhs.net</w:t>
        </w:r>
      </w:hyperlink>
      <w:r w:rsidRPr="00257E5D">
        <w:rPr>
          <w:rFonts w:ascii="Arial" w:hAnsi="Arial" w:cs="Arial"/>
          <w:color w:val="1F497D"/>
          <w:lang w:eastAsia="en-US"/>
        </w:rPr>
        <w:t xml:space="preserve">” email address as given in the attached guidance. </w:t>
      </w:r>
    </w:p>
    <w:p w14:paraId="583278AE"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234C8C2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enhancement of moving to the cloud and introducing multi factor authentication (MFA) will introduce a better user experience. Users will be able to access CQRS via the internet from any machine rather than solely those on N3/HSCN, and MFA will provide the level of security needed to meet national cyber security strategy obligations using an established and trusted strategic solution.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is the best option in terms of coverage and will provide the best user experience of all the options that were considered. Other key benefits you will notice are fewer usernames and passwords to remember and the ability to reset passwords via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rather than having to contact the service desk.</w:t>
      </w:r>
    </w:p>
    <w:p w14:paraId="4AAA291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7CF7E8B1"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It’s also important to note that this change only affects how you login to CQRS. Your profile and permissions will remain the same and all other functions, for example offering services, viewing achievement, approving payments and granting user access will also remain the same. </w:t>
      </w:r>
    </w:p>
    <w:p w14:paraId="4DA6C01E"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1251572"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without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14:paraId="56B4620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61214F14"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 xml:space="preserve">CQRS users who do not have an </w:t>
      </w:r>
      <w:proofErr w:type="spellStart"/>
      <w:r w:rsidRPr="00B93CC0">
        <w:rPr>
          <w:rFonts w:ascii="Arial" w:hAnsi="Arial" w:cs="Arial"/>
          <w:color w:val="1F497D"/>
          <w:lang w:eastAsia="en-US"/>
        </w:rPr>
        <w:t>NHSmail</w:t>
      </w:r>
      <w:proofErr w:type="spellEnd"/>
      <w:r w:rsidRPr="00B93CC0">
        <w:rPr>
          <w:rFonts w:ascii="Arial" w:hAnsi="Arial" w:cs="Arial"/>
          <w:color w:val="1F497D"/>
          <w:lang w:eastAsia="en-US"/>
        </w:rPr>
        <w:t xml:space="preserve"> account should continue to sign in using their username and password until further guidance is released.</w:t>
      </w:r>
    </w:p>
    <w:p w14:paraId="55E3965E"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 first login on or after Wednesday 23 September, users will be prompted to call the CQRS service desk.</w:t>
      </w:r>
    </w:p>
    <w:p w14:paraId="170C87C4"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Once this guidance is available, we will issue a comms directly to the relevant users.</w:t>
      </w:r>
    </w:p>
    <w:p w14:paraId="56C12818"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4B2BFBE8"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14:paraId="716BCF4A"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4FFC4C2F"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All CQRS users are asked to check their CQRS account to ensure that the correct email address is associated with their account. </w:t>
      </w:r>
    </w:p>
    <w:p w14:paraId="1D037C1F"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email address does not match the email address associated with your account, you will be unable to login to CQRS on Wednesday 23 September.  </w:t>
      </w:r>
    </w:p>
    <w:p w14:paraId="29BD6AF5"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If your email addresses do not match, please contact your commissioner, regional office or CQRS administrator to request a new account be set up using your correct email address. </w:t>
      </w:r>
    </w:p>
    <w:p w14:paraId="62BD0D99" w14:textId="3F0FAAFC" w:rsid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CQRS account is set up with a “@</w:t>
      </w:r>
      <w:hyperlink r:id="rId6" w:tgtFrame="_blank" w:history="1">
        <w:r w:rsidRPr="00257E5D">
          <w:rPr>
            <w:rFonts w:ascii="Arial" w:hAnsi="Arial" w:cs="Arial"/>
            <w:color w:val="1F497D"/>
          </w:rPr>
          <w:t>nhs.uk</w:t>
        </w:r>
      </w:hyperlink>
      <w:r w:rsidRPr="00257E5D">
        <w:rPr>
          <w:rFonts w:ascii="Arial" w:hAnsi="Arial" w:cs="Arial"/>
          <w:color w:val="1F497D"/>
          <w:lang w:eastAsia="en-US"/>
        </w:rPr>
        <w:t xml:space="preserve">” email address and you have 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account, follow the steps in 1. and request a new account be set up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w:t>
      </w:r>
    </w:p>
    <w:p w14:paraId="571F5FAF" w14:textId="77777777" w:rsidR="00B93CC0" w:rsidRPr="00257E5D" w:rsidRDefault="00B93CC0" w:rsidP="00B93CC0">
      <w:pPr>
        <w:ind w:left="360"/>
        <w:rPr>
          <w:rFonts w:ascii="Arial" w:hAnsi="Arial" w:cs="Arial"/>
          <w:color w:val="1F497D"/>
          <w:lang w:eastAsia="en-US"/>
        </w:rPr>
      </w:pPr>
    </w:p>
    <w:p w14:paraId="09BF8332"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lastRenderedPageBreak/>
        <w:t>To note</w:t>
      </w:r>
    </w:p>
    <w:p w14:paraId="1318DC20"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Please be aware that you cannot amend the email address for an existing account in CQRS</w:t>
      </w:r>
    </w:p>
    <w:p w14:paraId="3BC16BA0"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historical activity on your account, for example participation offers and approvals that you have made, will not be deleted from the system - provided you have the same permissions applied to your new account, you will be able to view this activity</w:t>
      </w:r>
    </w:p>
    <w:p w14:paraId="064AB537"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same activity will remain viewable to other users in your organisation with the relevant permissions</w:t>
      </w:r>
    </w:p>
    <w:p w14:paraId="7B16BB8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3224D487"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We will also issue these instructions directly to active CQRS users using the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 registered in the system.</w:t>
      </w:r>
    </w:p>
    <w:p w14:paraId="49FA189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A8DE84B"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Kind regards</w:t>
      </w:r>
    </w:p>
    <w:p w14:paraId="511548C1"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The CQRS team</w:t>
      </w:r>
    </w:p>
    <w:p w14:paraId="38950734" w14:textId="77777777" w:rsidR="00440DDB" w:rsidRPr="00257E5D" w:rsidRDefault="005A7296">
      <w:pPr>
        <w:rPr>
          <w:rFonts w:ascii="Arial" w:hAnsi="Arial" w:cs="Arial"/>
        </w:rPr>
      </w:pPr>
    </w:p>
    <w:sectPr w:rsidR="00440DDB" w:rsidRPr="0025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4F2"/>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C444E4"/>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790728"/>
    <w:multiLevelType w:val="hybridMultilevel"/>
    <w:tmpl w:val="69D0C8C8"/>
    <w:lvl w:ilvl="0" w:tplc="021E7A4E">
      <w:start w:val="1"/>
      <w:numFmt w:val="decimal"/>
      <w:lvlText w:val="%1."/>
      <w:lvlJc w:val="left"/>
      <w:pPr>
        <w:ind w:left="1074" w:hanging="360"/>
      </w:pPr>
      <w:rPr>
        <w:color w:val="auto"/>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3" w15:restartNumberingAfterBreak="0">
    <w:nsid w:val="43B1300C"/>
    <w:multiLevelType w:val="multilevel"/>
    <w:tmpl w:val="14EC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5D"/>
    <w:rsid w:val="00175B39"/>
    <w:rsid w:val="0023246D"/>
    <w:rsid w:val="00257E5D"/>
    <w:rsid w:val="005A7296"/>
    <w:rsid w:val="00B9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EA9B"/>
  <w15:chartTrackingRefBased/>
  <w15:docId w15:val="{274B1AFD-02F9-4D3B-9C62-B65448B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uk" TargetMode="External"/><Relationship Id="rId5" Type="http://schemas.openxmlformats.org/officeDocument/2006/relationships/hyperlink" Target="http://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Catharina Ohman</cp:lastModifiedBy>
  <cp:revision>2</cp:revision>
  <dcterms:created xsi:type="dcterms:W3CDTF">2020-09-16T12:26:00Z</dcterms:created>
  <dcterms:modified xsi:type="dcterms:W3CDTF">2020-09-16T12:26:00Z</dcterms:modified>
</cp:coreProperties>
</file>